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BF4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广西第八届大学生艺术展演活动</w:t>
      </w:r>
    </w:p>
    <w:p w14:paraId="2692E8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艺术实践工作坊的相关要求</w:t>
      </w:r>
    </w:p>
    <w:bookmarkEnd w:id="0"/>
    <w:p w14:paraId="177FFD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14ADD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20" w:lineRule="exact"/>
        <w:ind w:left="19" w:firstLine="68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艺术实践工作坊是一项集体性、实践性、互动性、体验性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的艺术创作实践项目。</w:t>
      </w:r>
    </w:p>
    <w:p w14:paraId="150E0E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620" w:lineRule="exact"/>
        <w:ind w:left="638" w:firstLine="624" w:firstLineChars="2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、内容要求</w:t>
      </w:r>
    </w:p>
    <w:p w14:paraId="4E6A3E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620" w:lineRule="exact"/>
        <w:ind w:left="13" w:firstLine="68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工作坊围绕艺术与科技、艺术与校园、艺术与生活、艺术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与乡村</w:t>
      </w:r>
      <w:r>
        <w:rPr>
          <w:rFonts w:hint="eastAsia" w:ascii="仿宋_GB2312" w:hAnsi="仿宋_GB2312" w:eastAsia="仿宋_GB2312" w:cs="仿宋_GB2312"/>
          <w:color w:val="auto"/>
          <w:spacing w:val="-6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4个主题开展创作实践。</w:t>
      </w:r>
    </w:p>
    <w:p w14:paraId="7FFCAC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620" w:lineRule="exact"/>
        <w:ind w:firstLine="68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（一）艺术与科技。</w:t>
      </w:r>
      <w:r>
        <w:rPr>
          <w:rFonts w:hint="eastAsia" w:ascii="仿宋_GB2312" w:hAnsi="仿宋_GB2312" w:eastAsia="仿宋_GB2312" w:cs="仿宋_GB2312"/>
          <w:color w:val="auto"/>
          <w:spacing w:val="-8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以艺术创意助力科技成果</w:t>
      </w: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</w:rPr>
        <w:t>转化，紧扣</w:t>
      </w:r>
      <w:r>
        <w:rPr>
          <w:rFonts w:hint="eastAsia" w:ascii="仿宋_GB2312" w:hAnsi="仿宋_GB2312" w:eastAsia="仿宋_GB2312" w:cs="仿宋_GB2312"/>
          <w:color w:val="auto"/>
          <w:spacing w:val="13"/>
          <w:sz w:val="32"/>
          <w:szCs w:val="32"/>
        </w:rPr>
        <w:t>教育数字化发展要求，推动艺术与人工智能</w:t>
      </w: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、信息技术、新材料技术等深度融合，展示兼具人文内涵与技术创新的跨界实践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成果。</w:t>
      </w:r>
    </w:p>
    <w:p w14:paraId="1778D8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3" w:firstLine="68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（二）艺术与校园。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以艺术美化校园、营造</w:t>
      </w: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</w:rPr>
        <w:t>良好校园美育氛围、提升审美品</w:t>
      </w:r>
      <w:r>
        <w:rPr>
          <w:rFonts w:hint="eastAsia" w:ascii="仿宋_GB2312" w:hAnsi="仿宋_GB2312" w:eastAsia="仿宋_GB2312" w:cs="仿宋_GB2312"/>
          <w:color w:val="auto"/>
          <w:spacing w:val="-5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</w:rPr>
        <w:t>位。围绕校园环境设计、文创产品、校服设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计等，展示校园文化创意创新实践。</w:t>
      </w:r>
    </w:p>
    <w:p w14:paraId="29CAEF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3" w:firstLine="66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（三）艺术与生活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。将艺术融入日常生活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，满足人民群众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精神文化生活需求，兼顾实用</w:t>
      </w:r>
      <w:r>
        <w:rPr>
          <w:rFonts w:hint="eastAsia" w:ascii="仿宋_GB2312" w:hAnsi="仿宋_GB2312" w:eastAsia="仿宋_GB2312" w:cs="仿宋_GB2312"/>
          <w:color w:val="auto"/>
          <w:spacing w:val="-5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与审美，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围绕日用</w:t>
      </w:r>
      <w:r>
        <w:rPr>
          <w:rFonts w:hint="eastAsia" w:ascii="仿宋_GB2312" w:hAnsi="仿宋_GB2312" w:eastAsia="仿宋_GB2312" w:cs="仿宋_GB2312"/>
          <w:color w:val="auto"/>
          <w:spacing w:val="-3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color w:val="auto"/>
          <w:spacing w:val="-5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、装饰</w:t>
      </w:r>
      <w:r>
        <w:rPr>
          <w:rFonts w:hint="eastAsia" w:ascii="仿宋_GB2312" w:hAnsi="仿宋_GB2312" w:eastAsia="仿宋_GB2312" w:cs="仿宋_GB2312"/>
          <w:color w:val="auto"/>
          <w:spacing w:val="-6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color w:val="auto"/>
          <w:spacing w:val="-5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家居用</w:t>
      </w:r>
      <w:r>
        <w:rPr>
          <w:rFonts w:hint="eastAsia" w:ascii="仿宋_GB2312" w:hAnsi="仿宋_GB2312" w:eastAsia="仿宋_GB2312" w:cs="仿宋_GB2312"/>
          <w:color w:val="auto"/>
          <w:spacing w:val="-4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品等开展创作，以艺术提升生活</w:t>
      </w:r>
      <w:r>
        <w:rPr>
          <w:rFonts w:hint="eastAsia" w:ascii="仿宋_GB2312" w:hAnsi="仿宋_GB2312" w:eastAsia="仿宋_GB2312" w:cs="仿宋_GB2312"/>
          <w:color w:val="auto"/>
          <w:spacing w:val="-7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color w:val="auto"/>
          <w:spacing w:val="-7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位、审美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韵味。</w:t>
      </w:r>
    </w:p>
    <w:p w14:paraId="0A493D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620" w:lineRule="exact"/>
        <w:ind w:left="2" w:right="94" w:firstLine="66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（四）艺术与乡村。</w:t>
      </w:r>
      <w:r>
        <w:rPr>
          <w:rFonts w:hint="eastAsia" w:ascii="仿宋_GB2312" w:hAnsi="仿宋_GB2312" w:eastAsia="仿宋_GB2312" w:cs="仿宋_GB2312"/>
          <w:color w:val="auto"/>
          <w:spacing w:val="-8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围绕乡村振兴、美丽中国建设，将艺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术元</w:t>
      </w:r>
      <w:r>
        <w:rPr>
          <w:rFonts w:hint="eastAsia" w:ascii="仿宋_GB2312" w:hAnsi="仿宋_GB2312" w:eastAsia="仿宋_GB2312" w:cs="仿宋_GB2312"/>
          <w:color w:val="auto"/>
          <w:spacing w:val="-7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素应用</w:t>
      </w:r>
      <w:r>
        <w:rPr>
          <w:rFonts w:hint="eastAsia" w:ascii="仿宋_GB2312" w:hAnsi="仿宋_GB2312" w:eastAsia="仿宋_GB2312" w:cs="仿宋_GB2312"/>
          <w:color w:val="auto"/>
          <w:spacing w:val="-6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于乡村规划、生态保护、文化传承与产业升级。在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艺术乡建、景观设计、墙绘、农特产品</w:t>
      </w:r>
      <w:r>
        <w:rPr>
          <w:rFonts w:hint="eastAsia" w:ascii="仿宋_GB2312" w:hAnsi="仿宋_GB2312" w:eastAsia="仿宋_GB2312" w:cs="仿宋_GB2312"/>
          <w:color w:val="auto"/>
          <w:spacing w:val="-6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包装、非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遗活化与农文</w:t>
      </w: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</w:rPr>
        <w:t>旅融合等方面，展示服务宜居宜业和美乡村建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设的创新实践。</w:t>
      </w:r>
    </w:p>
    <w:p w14:paraId="652C25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620" w:lineRule="exact"/>
        <w:ind w:left="638" w:firstLine="644" w:firstLineChars="2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、组队和报送要求</w:t>
      </w:r>
    </w:p>
    <w:p w14:paraId="07B9CB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5" w:line="620" w:lineRule="exact"/>
        <w:ind w:firstLine="688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艺术实践工作坊以高校为单位组队，一队一坊，每队人数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不超过</w:t>
      </w:r>
      <w:r>
        <w:rPr>
          <w:rFonts w:hint="eastAsia" w:ascii="仿宋_GB2312" w:hAnsi="仿宋_GB2312" w:eastAsia="仿宋_GB2312" w:cs="仿宋_GB2312"/>
          <w:color w:val="auto"/>
          <w:spacing w:val="-3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12人，其中，学生</w:t>
      </w:r>
      <w:r>
        <w:rPr>
          <w:rFonts w:hint="eastAsia" w:ascii="仿宋_GB2312" w:hAnsi="仿宋_GB2312" w:eastAsia="仿宋_GB2312" w:cs="仿宋_GB2312"/>
          <w:color w:val="auto"/>
          <w:spacing w:val="-3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7—9人、指导教</w:t>
      </w:r>
      <w:r>
        <w:rPr>
          <w:rFonts w:hint="eastAsia" w:ascii="仿宋_GB2312" w:hAnsi="仿宋_GB2312" w:eastAsia="仿宋_GB2312" w:cs="仿宋_GB2312"/>
          <w:color w:val="auto"/>
          <w:spacing w:val="-9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师</w:t>
      </w:r>
      <w:r>
        <w:rPr>
          <w:rFonts w:hint="eastAsia" w:ascii="仿宋_GB2312" w:hAnsi="仿宋_GB2312" w:eastAsia="仿宋_GB2312" w:cs="仿宋_GB2312"/>
          <w:color w:val="auto"/>
          <w:spacing w:val="-3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1—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3人。每所高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校在组织校内选拔的基础上，可推荐工作坊2个。申</w:t>
      </w:r>
      <w:r>
        <w:rPr>
          <w:rFonts w:hint="eastAsia" w:ascii="仿宋_GB2312" w:hAnsi="仿宋_GB2312" w:eastAsia="仿宋_GB2312" w:cs="仿宋_GB2312"/>
          <w:color w:val="auto"/>
          <w:spacing w:val="-7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报材料包</w:t>
      </w: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括项目基本信息、项目简介、设计思路和特色描述、展区设计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方案和反映工作坊项目的现场实践视频（时长</w:t>
      </w:r>
      <w:r>
        <w:rPr>
          <w:rFonts w:hint="eastAsia" w:ascii="仿宋_GB2312" w:hAnsi="仿宋_GB2312" w:eastAsia="仿宋_GB2312" w:cs="仿宋_GB2312"/>
          <w:color w:val="auto"/>
          <w:spacing w:val="-7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不超过</w:t>
      </w:r>
      <w:r>
        <w:rPr>
          <w:rFonts w:hint="eastAsia" w:ascii="仿宋_GB2312" w:hAnsi="仿宋_GB2312" w:eastAsia="仿宋_GB2312" w:cs="仿宋_GB2312"/>
          <w:color w:val="auto"/>
          <w:spacing w:val="-5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auto"/>
          <w:spacing w:val="3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分钟，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采用 MP4或</w:t>
      </w:r>
      <w:r>
        <w:rPr>
          <w:rFonts w:hint="eastAsia" w:ascii="仿宋_GB2312" w:hAnsi="仿宋_GB2312" w:eastAsia="仿宋_GB2312" w:cs="仿宋_GB2312"/>
          <w:color w:val="auto"/>
          <w:spacing w:val="-7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MPG2格式）。历届已获奖工作坊不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得重复</w:t>
      </w:r>
      <w:r>
        <w:rPr>
          <w:rFonts w:hint="eastAsia" w:ascii="仿宋_GB2312" w:hAnsi="仿宋_GB2312" w:eastAsia="仿宋_GB2312" w:cs="仿宋_GB2312"/>
          <w:color w:val="auto"/>
          <w:spacing w:val="-6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color w:val="auto"/>
          <w:spacing w:val="-7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报。</w:t>
      </w:r>
    </w:p>
    <w:p w14:paraId="49CF36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620" w:lineRule="exact"/>
        <w:ind w:left="639" w:firstLine="624" w:firstLineChars="2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、展示要求</w:t>
      </w:r>
    </w:p>
    <w:p w14:paraId="6A0DFB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left="2" w:right="56" w:firstLine="652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入围参加自治区现场展示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的工作坊由</w:t>
      </w:r>
      <w:r>
        <w:rPr>
          <w:rFonts w:hint="eastAsia" w:ascii="仿宋_GB2312" w:hAnsi="仿宋_GB2312" w:eastAsia="仿宋_GB2312" w:cs="仿宋_GB2312"/>
          <w:color w:val="auto"/>
          <w:spacing w:val="-8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承办高校统一提供展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位和基础平台，每个展位尺寸为</w:t>
      </w:r>
      <w:r>
        <w:rPr>
          <w:rFonts w:hint="eastAsia" w:ascii="仿宋_GB2312" w:hAnsi="仿宋_GB2312" w:eastAsia="仿宋_GB2312" w:cs="仿宋_GB2312"/>
          <w:color w:val="auto"/>
          <w:spacing w:val="-5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6米（长</w:t>
      </w:r>
      <w:r>
        <w:rPr>
          <w:rFonts w:hint="eastAsia" w:ascii="仿宋_GB2312" w:hAnsi="仿宋_GB2312" w:eastAsia="仿宋_GB2312" w:cs="仿宋_GB2312"/>
          <w:color w:val="auto"/>
          <w:spacing w:val="-7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）×4米（宽）</w:t>
      </w:r>
      <w:r>
        <w:rPr>
          <w:rFonts w:hint="eastAsia" w:ascii="仿宋_GB2312" w:hAnsi="仿宋_GB2312" w:eastAsia="仿宋_GB2312" w:cs="仿宋_GB2312"/>
          <w:color w:val="auto"/>
          <w:spacing w:val="-5"/>
          <w:sz w:val="32"/>
          <w:szCs w:val="32"/>
        </w:rPr>
        <w:t>×2.5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米（高</w:t>
      </w:r>
      <w:r>
        <w:rPr>
          <w:rFonts w:hint="eastAsia" w:ascii="仿宋_GB2312" w:hAnsi="仿宋_GB2312" w:eastAsia="仿宋_GB2312" w:cs="仿宋_GB2312"/>
          <w:color w:val="auto"/>
          <w:spacing w:val="3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包括基础展台、操作台和座椅</w:t>
      </w:r>
      <w:r>
        <w:rPr>
          <w:rFonts w:hint="eastAsia" w:ascii="仿宋_GB2312" w:hAnsi="仿宋_GB2312" w:eastAsia="仿宋_GB2312" w:cs="仿宋_GB2312"/>
          <w:color w:val="auto"/>
          <w:spacing w:val="-8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，展位和平台的具体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布置由</w:t>
      </w:r>
      <w:r>
        <w:rPr>
          <w:rFonts w:hint="eastAsia" w:ascii="仿宋_GB2312" w:hAnsi="仿宋_GB2312" w:eastAsia="仿宋_GB2312" w:cs="仿宋_GB2312"/>
          <w:color w:val="auto"/>
          <w:spacing w:val="-8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各参展队伍负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责。</w:t>
      </w:r>
    </w:p>
    <w:p w14:paraId="55CE9E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7370C"/>
    <w:rsid w:val="1877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2026-05-25T03:23:00Z</dcterms:created>
  <dc:creator>易姗姗</dc:creator>
  <cp:lastModifiedBy>易姗姗</cp:lastModifiedBy>
  <dcterms:modified xsi:type="dcterms:W3CDTF">2026-05-25T03:23:12Z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3947F8BB5E124551A15BDFD1D73D2EE6_11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